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35" w:rsidRDefault="00EF6535" w:rsidP="00EF6535">
      <w:pPr>
        <w:pStyle w:val="APA"/>
        <w:sectPr w:rsidR="00EF6535" w:rsidSect="00EF6535">
          <w:headerReference w:type="default" r:id="rId7"/>
          <w:headerReference w:type="first" r:id="rId8"/>
          <w:pgSz w:w="12240" w:h="15840" w:code="1"/>
          <w:pgMar w:top="1440" w:right="1440" w:bottom="1440" w:left="1440" w:header="720" w:footer="720" w:gutter="0"/>
          <w:cols w:space="720"/>
          <w:titlePg/>
          <w:docGrid w:linePitch="360"/>
        </w:sectPr>
      </w:pPr>
      <w:bookmarkStart w:id="2" w:name="_GoBack"/>
      <w:bookmarkEnd w:id="2"/>
    </w:p>
    <w:p w:rsidR="00EF6535" w:rsidRDefault="00EF6535">
      <w:pPr>
        <w:rPr>
          <w:szCs w:val="20"/>
        </w:rPr>
      </w:pPr>
    </w:p>
    <w:p w:rsidR="00EF6535" w:rsidRPr="00EF6535" w:rsidRDefault="00EF6535" w:rsidP="00EF6535">
      <w:pPr>
        <w:pStyle w:val="APAHeader"/>
      </w:pPr>
      <w:bookmarkStart w:id="3" w:name="bkFirstPageTitle"/>
      <w:r w:rsidRPr="00EF6535">
        <w:t>Equal Rights Proposition Outline</w:t>
      </w:r>
      <w:bookmarkEnd w:id="3"/>
    </w:p>
    <w:p w:rsidR="00EF6535" w:rsidRDefault="00EF6535" w:rsidP="00EF6535">
      <w:pPr>
        <w:pStyle w:val="APA"/>
      </w:pPr>
      <w:r>
        <w:t xml:space="preserve">The focusing on and abuse of ethnic minorities is a repetitive subject in cutting edge world history. The ethnic purifying rehearsed by Serbians in Bosnia is a late case. Indeed, numerous European nations have shown significant amounts of narrow-mindedness particularly toward foreigners of shading who have entered their workforces in new decades. </w:t>
      </w:r>
    </w:p>
    <w:p w:rsidR="00EF6535" w:rsidRDefault="00EF6535" w:rsidP="00EF6535">
      <w:pPr>
        <w:pStyle w:val="APA"/>
      </w:pPr>
      <w:r>
        <w:t xml:space="preserve">Racial resilience keeps on being an unmistakable pattern in American culture. Truth </w:t>
      </w:r>
      <w:proofErr w:type="gramStart"/>
      <w:r>
        <w:t>be</w:t>
      </w:r>
      <w:proofErr w:type="gramEnd"/>
      <w:r>
        <w:t xml:space="preserve"> told, amid the previous six years, there has been an enormous positive change in the view of both African Americans and whites in regards to the current situation with race relations. A hefty portion of the issues that are in no time essential to racial minorities are issues confronted by low pay Americans by and large, for instance, access to reasonable social insurance and quality instruction. </w:t>
      </w:r>
    </w:p>
    <w:p w:rsidR="00EF6535" w:rsidRDefault="00EF6535" w:rsidP="00EF6535">
      <w:pPr>
        <w:pStyle w:val="APA"/>
      </w:pPr>
      <w:r>
        <w:t xml:space="preserve">    In spite of more than three many years of a deliberate push to redress past racial shameful acts, race remains an essential part of American culture with arrangement suggestions all through our administrative frameworks. Racial issues indeed have included African Americans. New issues connected with these gatherings have similitudes and contrasts with issues confronting African Americans. A comprehension of racial issues facing America must be seen in an authentic setting. African Americans arrived shackled in chains as captives, and their bondage characterized their financial wellbeing. Consider the accompanying dialect from the U.S. </w:t>
      </w:r>
    </w:p>
    <w:p w:rsidR="00EF6535" w:rsidRDefault="00EF6535" w:rsidP="00EF6535">
      <w:pPr>
        <w:pStyle w:val="APA"/>
      </w:pPr>
      <w:r>
        <w:t xml:space="preserve">Race" and Social Exclusion in the United States </w:t>
      </w:r>
    </w:p>
    <w:p w:rsidR="00EF6535" w:rsidRDefault="00EF6535" w:rsidP="00EF6535">
      <w:pPr>
        <w:pStyle w:val="APA"/>
      </w:pPr>
      <w:r>
        <w:t xml:space="preserve">    I now wish to convey forward this talk with regards to a particular case that doing with "race" in the United States. I depend on this instance since it is most well known to me, and </w:t>
      </w:r>
      <w:r>
        <w:lastRenderedPageBreak/>
        <w:t xml:space="preserve">grants me to talk with some specificity about the component of prohibition and the degree to which variables of race, ethnicity, and personality are a vital part of the issue. In doing as such, in any case, I need per users not to dismiss the way that related procedures are grinding away in numerous other social settings in both creating and modern countries. I see the estimation of the exchange that takes after, then, as being suggestive of the broadest progression fundamental social avoidance in numerous social orders. </w:t>
      </w:r>
    </w:p>
    <w:p w:rsidR="00EF6535" w:rsidRDefault="00EF6535" w:rsidP="00EF6535">
      <w:pPr>
        <w:pStyle w:val="APA"/>
      </w:pPr>
      <w:r>
        <w:t xml:space="preserve">Expanding the Focus Past Discrimination </w:t>
      </w:r>
    </w:p>
    <w:p w:rsidR="00EF6535" w:rsidRDefault="00EF6535" w:rsidP="00EF6535">
      <w:pPr>
        <w:pStyle w:val="APA"/>
      </w:pPr>
      <w:r>
        <w:t xml:space="preserve">    The monetary writing on separation tends to concentrate on the different treatment of people taking into account race, sex, or ethnicity in labor, credit, and shop products markets. This clearly an individual matter and there is abundant proof in the United States and somewhere else that such inconsistencies are authentic and quantitatively vital as a wellspring of intergroup financial imbalances Nevertheless, while considering ethnic gathering disparity, business analysts ought to look past what happens in business sectors. </w:t>
      </w:r>
    </w:p>
    <w:p w:rsidR="00EF6535" w:rsidRDefault="00EF6535" w:rsidP="00EF6535">
      <w:pPr>
        <w:pStyle w:val="APA"/>
      </w:pPr>
      <w:r>
        <w:t xml:space="preserve">Investigators found that albeit ethnic minorities have encountered development in administrative, proficient and management livelihood, they are as yet confronting critical hindrances to getting a charge out of the levels of social portability of their white British companions. The report likewise takes a gander at work market figures. The realistic beneath demonstrates the rate of financially dynamic individuals, by ethnic gathering, which was in all day business, little maintenance job, independent work or unemployed, as reported in the 2011 Census information. </w:t>
      </w:r>
    </w:p>
    <w:p w:rsidR="00EF6535" w:rsidRDefault="00EF6535" w:rsidP="00EF6535">
      <w:pPr>
        <w:pStyle w:val="APA"/>
      </w:pPr>
      <w:r>
        <w:t xml:space="preserve">The concentrate likewise displays new research on some of Britain's biggest longitudinal studies. Teachers Anthony Heath and </w:t>
      </w:r>
      <w:proofErr w:type="spellStart"/>
      <w:r>
        <w:t>Yaojun</w:t>
      </w:r>
      <w:proofErr w:type="spellEnd"/>
      <w:r>
        <w:t xml:space="preserve"> Li took a gander at 40 years of information to </w:t>
      </w:r>
      <w:r>
        <w:lastRenderedPageBreak/>
        <w:t xml:space="preserve">characterize rates of social versatility through distinguishing the rate, which climbed or down from the word related class of their dad. </w:t>
      </w:r>
    </w:p>
    <w:p w:rsidR="00EF6535" w:rsidRDefault="00EF6535" w:rsidP="00EF6535">
      <w:pPr>
        <w:pStyle w:val="APA"/>
      </w:pPr>
      <w:r>
        <w:t xml:space="preserve">    The persuasive ease of race between self-definition and other definition, between an individual's, picked racial personality versus society's forced national character encourages a comprehension of race as social development. The national character does not coordinate that attributed by most by far of American culture; then racial personality is weak past the implying that is connected to it by a person from one viewpoint and society on the other. The racial character bungle saw on account of Tiger Woods urges us to comprehend race as a less remarkable, made up classification of personality, particularly when looked at against ethnicity, which is self-characterized as it were. Incidentally, this thought is identified with a strange origination of ethnicity that describes it as more liquid than race, since one's ethnicity is constantly "discretionary" (Waters 1990). Here the thought is essential that ethnicity is dynamic, fluid and self-characterized. </w:t>
      </w:r>
    </w:p>
    <w:p w:rsidR="00EF6535" w:rsidRDefault="00EF6535" w:rsidP="00EF6535">
      <w:pPr>
        <w:pStyle w:val="APA"/>
      </w:pPr>
      <w:r>
        <w:t xml:space="preserve">    Issue ethnic or social gatherings personality, in this admiration we are mainly inspired by the different ways that distinctive societies create and utilize organic classes (age, sex, ethnicity et cetera) and physical classifications (occupation, locale et cetera) as props around which individual and gathering characters are manufactured. In the fundamental, in this way, we will take a gander at five essential wellsprings of character, in particular: Gender. Social Class, Age, Region, and Ethnicity. These are negative by any means the only wellsprings of character, nor do they fundamentally show up in all known social orders, yet they are an unusual choice of the primary wellsprings of personality in advanced social rules, for example, our own. What's more, one reason for taking a gander at the character is to investigate the possibility of its social </w:t>
      </w:r>
      <w:r>
        <w:lastRenderedPageBreak/>
        <w:t xml:space="preserve">development, and we can do this most plainly by utilizing illustrations that will be moderately recognizable from your encounters. </w:t>
      </w:r>
    </w:p>
    <w:p w:rsidR="00EF6535" w:rsidRDefault="00EF6535" w:rsidP="00EF6535">
      <w:pPr>
        <w:pStyle w:val="APA"/>
      </w:pPr>
      <w:r>
        <w:t xml:space="preserve">In a sacred majority rules system, the subject of who is all the more meriting lawful security is a hostile one. The response to such an inquiry can be found in the law and ought to be plain: our work environment social equality statutes secure every individual from the recorded gatherings, and additionally all different Americans. </w:t>
      </w:r>
    </w:p>
    <w:p w:rsidR="00EF6535" w:rsidRDefault="00EF6535" w:rsidP="00EF6535">
      <w:pPr>
        <w:pStyle w:val="APA"/>
      </w:pPr>
      <w:r>
        <w:t xml:space="preserve">    The preclusion against race segregation, however, planned to ensure blacks, provides individuals from each race-dark, white, and other. Men and ladies are similarly shielded from sex-based separation. The Civil Rights Act of 1964, the Equal Pay Act, the Age Discrimination In Employment Act (ADEA), and the Americans with Disabilities Act (ADA) represent the acknowledgment that bias in all signs is contradictory to essential American qualities. Regardless, the inquiry exists because, instead of the law, it is the legislators, intellectuals, and even the secured bunches who, by configuration or default, progressively look to characterize who is all the more meriting. Whether on account of open, threatening vibe legitimized by ideologues, empathy weakness from a calloused open, conceit inborn in interest - bunch promotion. Deficient dedicated to it by a less liberal Congress, social equality law requirement is turning out to be to a greater degree a zero-total amusement: one gathering gets to be other group's misfortune </w:t>
      </w:r>
    </w:p>
    <w:p w:rsidR="00EF6535" w:rsidRDefault="00EF6535" w:rsidP="00EF6535">
      <w:pPr>
        <w:pStyle w:val="APA"/>
      </w:pPr>
      <w:r>
        <w:t xml:space="preserve">    Government offices, in Equal Employment Opportunity laws, forbid particular sorts of occupation separation in specific working environments. The Department of Labor has two offices, which manage EEO checking, and requirement, the Civil Rights Capital and the Office of Federal Contract Compliance Programs. Social liberties Center, part of the Office of Assistant Secretary for Administration and Management, regulates EEO in projects and exercises getting </w:t>
      </w:r>
      <w:r>
        <w:lastRenderedPageBreak/>
        <w:t xml:space="preserve">government money related help. CRC likewise guarantees break even with the open door for all candidates to and representatives of DOL. The Office of Federal Contract Compliance Programs manages businesses holding government contracts and subcontracts. The Equal Employment Opportunity Commission is an independent elected organization that advances measure up to circumstance in the job through the regulatory and legal requirement of the selected social liberties laws and training and specialized help. </w:t>
      </w:r>
    </w:p>
    <w:p w:rsidR="00EF6535" w:rsidRDefault="00EF6535" w:rsidP="00EF6535">
      <w:pPr>
        <w:pStyle w:val="APA"/>
      </w:pPr>
      <w:r>
        <w:t xml:space="preserve">Religious gatherings include treating a man unfavorably given his or her religious convictions. The law secures not just individuals who have a place with conventional, sorted out religions, for example, Buddhism, Christianity, Hinduism, Islam, and Judaism, additionally other people who have genuinely held religious, moral or right convictions. Religious separation can likewise include treating somebody contrastingly because that individual is hitched to a population of a specific religion. The law prohibits segregation with regards to any part of a job, including enlisting, terminating, pay, work assignments, advancements, cutback, preparing, incidental advantages, and whatever term or state of occupation. </w:t>
      </w:r>
    </w:p>
    <w:p w:rsidR="00EF6535" w:rsidRDefault="00EF6535" w:rsidP="00EF6535">
      <w:pPr>
        <w:pStyle w:val="APA"/>
      </w:pPr>
      <w:r>
        <w:t xml:space="preserve">    </w:t>
      </w:r>
      <w:proofErr w:type="gramStart"/>
      <w:r>
        <w:t>In the grassroots associations.</w:t>
      </w:r>
      <w:proofErr w:type="gramEnd"/>
      <w:r>
        <w:t xml:space="preserve"> In 1966, 28 ladies going to the Third National Conference of the Commission on the Status of Women set up The Commission reported that in spite of having won the privilege to vote, ladies in the United States still were oppressed in for all purposes and purpose each part of life. </w:t>
      </w:r>
    </w:p>
    <w:p w:rsidR="00EF6535" w:rsidRDefault="00EF6535" w:rsidP="00EF6535">
      <w:pPr>
        <w:pStyle w:val="APA"/>
      </w:pPr>
      <w:r>
        <w:t xml:space="preserve">They started the developing association of ladies in governmental issues with a plan that included better instruction, livelihood and open political doors for women. Weight and activism from them kept on helping women through the seventies. It battled to safeguard the Supreme Court's professional decision administering in Roe v. Wade (1973) and prepared for women to take more active parts in current science, games, and governmental issues. </w:t>
      </w:r>
    </w:p>
    <w:p w:rsidR="00EF6535" w:rsidRDefault="00EF6535" w:rsidP="00EF6535">
      <w:pPr>
        <w:pStyle w:val="APA"/>
      </w:pPr>
      <w:r>
        <w:lastRenderedPageBreak/>
        <w:t xml:space="preserve">    They sorted out walks have drawn massive backing: A 1978 March supporting the Equal Rights Amendment drew more than 100,000 individuals; The Marches for Women's Lives attracted 500,000 supporters 1989 and 750,000 in 1992; In 1995, they composed a show concentrating on viciousness against ladies drawing a fourth of a million people; </w:t>
      </w:r>
    </w:p>
    <w:p w:rsidR="00EF6535" w:rsidRDefault="00EF6535" w:rsidP="00EF6535">
      <w:pPr>
        <w:pStyle w:val="APA"/>
      </w:pPr>
      <w:r>
        <w:t>What's more, the 1996 March to Fight the Right brought more than 50,000 activists to commence a discretionary season concentrated on endeavors to guard governmental policy regarding minorities in society. These issues exist I may nations, for example, African countries today confront more prominent difficulties to peace and dependability than at any other time. The countries of sub-Saharan</w:t>
      </w:r>
    </w:p>
    <w:p w:rsidR="00EF6535" w:rsidRDefault="00EF6535" w:rsidP="00EF6535">
      <w:pPr>
        <w:pStyle w:val="APA"/>
      </w:pPr>
      <w:r>
        <w:t xml:space="preserve">Africa, including Sierra-Leone, Ivory Coast, Liberia and the Democratic Republic of Congo, are an unstable blend of shakiness, unsteadiness, corrupt political establishments and destitution. Alarmingly, the majority of these nations does not have the political will to keep up past peace understandings, and in this way have fallen prey to nonstop-equipped ethnic clash </w:t>
      </w:r>
    </w:p>
    <w:p w:rsidR="00EF6535" w:rsidRDefault="00EF6535" w:rsidP="00EF6535">
      <w:pPr>
        <w:pStyle w:val="APA"/>
      </w:pPr>
      <w:r>
        <w:t xml:space="preserve">    The contentions in these nations are general between ethnic gatherings, not between states. If not checked, ethnic conflicts are infectious and can spread rapidly crosswise over outskirts like growth cells. Ted </w:t>
      </w:r>
      <w:proofErr w:type="spellStart"/>
      <w:r>
        <w:t>Gurr</w:t>
      </w:r>
      <w:proofErr w:type="spellEnd"/>
      <w:r>
        <w:t xml:space="preserve"> and Monty Marshall have composed that most African arguments are brought about by the blend of destitution and fragile states and foundations.</w:t>
      </w:r>
    </w:p>
    <w:p w:rsidR="00EF6535" w:rsidRDefault="00EF6535" w:rsidP="00EF6535">
      <w:pPr>
        <w:pStyle w:val="APA"/>
      </w:pPr>
      <w:r>
        <w:br/>
      </w:r>
      <w:r>
        <w:br/>
      </w:r>
    </w:p>
    <w:p w:rsidR="00EF6535" w:rsidRDefault="00EF6535" w:rsidP="00EF6535">
      <w:pPr>
        <w:pStyle w:val="APA"/>
      </w:pPr>
    </w:p>
    <w:p w:rsidR="00EF6535" w:rsidRDefault="00EF6535" w:rsidP="00EF6535">
      <w:pPr>
        <w:pStyle w:val="APA"/>
      </w:pPr>
    </w:p>
    <w:p w:rsidR="00EF6535" w:rsidRDefault="00EF6535" w:rsidP="00EF6535">
      <w:pPr>
        <w:pStyle w:val="APA"/>
      </w:pPr>
    </w:p>
    <w:p w:rsidR="00EF6535" w:rsidRDefault="00EF6535" w:rsidP="00EF6535">
      <w:pPr>
        <w:pStyle w:val="APA"/>
      </w:pPr>
    </w:p>
    <w:p w:rsidR="00EF6535" w:rsidRDefault="00EF6535" w:rsidP="00EF6535">
      <w:pPr>
        <w:pStyle w:val="APA"/>
      </w:pPr>
    </w:p>
    <w:p w:rsidR="00EF6535" w:rsidRDefault="00EF6535" w:rsidP="00EF6535">
      <w:pPr>
        <w:pStyle w:val="APA"/>
      </w:pPr>
    </w:p>
    <w:p w:rsidR="00EF6535" w:rsidRDefault="00EF6535" w:rsidP="00EF6535">
      <w:pPr>
        <w:pStyle w:val="APA"/>
      </w:pPr>
    </w:p>
    <w:p w:rsidR="00EF6535" w:rsidRPr="00412284" w:rsidRDefault="00EF6535" w:rsidP="00EF6535">
      <w:pPr>
        <w:tabs>
          <w:tab w:val="left" w:pos="1170"/>
        </w:tabs>
        <w:spacing w:line="480" w:lineRule="auto"/>
        <w:jc w:val="center"/>
      </w:pPr>
      <w:r w:rsidRPr="00412284">
        <w:t>Reference</w:t>
      </w:r>
    </w:p>
    <w:p w:rsidR="00EF6535" w:rsidRPr="00412284" w:rsidRDefault="00EF6535" w:rsidP="00EF6535">
      <w:pPr>
        <w:tabs>
          <w:tab w:val="left" w:pos="1170"/>
        </w:tabs>
        <w:spacing w:line="480" w:lineRule="auto"/>
        <w:ind w:left="720" w:hanging="720"/>
        <w:rPr>
          <w:color w:val="222222"/>
          <w:shd w:val="clear" w:color="auto" w:fill="FFFFFF"/>
        </w:rPr>
      </w:pPr>
      <w:r w:rsidRPr="00412284">
        <w:rPr>
          <w:color w:val="222222"/>
          <w:shd w:val="clear" w:color="auto" w:fill="FFFFFF"/>
        </w:rPr>
        <w:t>Brown, B. A., Emerson, T. I., Falk, G., &amp; Freedman, A. E. (1971). The equal rights amendment: A constitutional basis for equal rights for women.</w:t>
      </w:r>
      <w:r w:rsidRPr="00412284">
        <w:rPr>
          <w:rStyle w:val="apple-converted-space"/>
          <w:color w:val="222222"/>
          <w:shd w:val="clear" w:color="auto" w:fill="FFFFFF"/>
        </w:rPr>
        <w:t> </w:t>
      </w:r>
      <w:proofErr w:type="gramStart"/>
      <w:r w:rsidRPr="00412284">
        <w:rPr>
          <w:i/>
          <w:iCs/>
          <w:color w:val="222222"/>
          <w:shd w:val="clear" w:color="auto" w:fill="FFFFFF"/>
        </w:rPr>
        <w:t>The Yale Law Journal</w:t>
      </w:r>
      <w:r w:rsidRPr="00412284">
        <w:rPr>
          <w:color w:val="222222"/>
          <w:shd w:val="clear" w:color="auto" w:fill="FFFFFF"/>
        </w:rPr>
        <w:t>,</w:t>
      </w:r>
      <w:r w:rsidRPr="00412284">
        <w:rPr>
          <w:rStyle w:val="apple-converted-space"/>
          <w:color w:val="222222"/>
          <w:shd w:val="clear" w:color="auto" w:fill="FFFFFF"/>
        </w:rPr>
        <w:t> </w:t>
      </w:r>
      <w:r w:rsidRPr="00412284">
        <w:rPr>
          <w:i/>
          <w:iCs/>
          <w:color w:val="222222"/>
          <w:shd w:val="clear" w:color="auto" w:fill="FFFFFF"/>
        </w:rPr>
        <w:t>80</w:t>
      </w:r>
      <w:r w:rsidRPr="00412284">
        <w:rPr>
          <w:color w:val="222222"/>
          <w:shd w:val="clear" w:color="auto" w:fill="FFFFFF"/>
        </w:rPr>
        <w:t>(5), 871-985.</w:t>
      </w:r>
      <w:proofErr w:type="gramEnd"/>
    </w:p>
    <w:p w:rsidR="00EF6535" w:rsidRPr="00412284" w:rsidRDefault="00EF6535" w:rsidP="00EF6535">
      <w:pPr>
        <w:tabs>
          <w:tab w:val="left" w:pos="1170"/>
        </w:tabs>
        <w:spacing w:line="480" w:lineRule="auto"/>
        <w:ind w:left="720" w:hanging="720"/>
        <w:rPr>
          <w:color w:val="222222"/>
          <w:shd w:val="clear" w:color="auto" w:fill="FFFFFF"/>
        </w:rPr>
      </w:pPr>
      <w:proofErr w:type="gramStart"/>
      <w:r w:rsidRPr="00412284">
        <w:rPr>
          <w:color w:val="222222"/>
          <w:shd w:val="clear" w:color="auto" w:fill="FFFFFF"/>
        </w:rPr>
        <w:t>Equal Employment Opportunity Commission.</w:t>
      </w:r>
      <w:proofErr w:type="gramEnd"/>
      <w:r w:rsidRPr="00412284">
        <w:rPr>
          <w:color w:val="222222"/>
          <w:shd w:val="clear" w:color="auto" w:fill="FFFFFF"/>
        </w:rPr>
        <w:t xml:space="preserve"> (1972)</w:t>
      </w:r>
      <w:proofErr w:type="gramStart"/>
      <w:r w:rsidRPr="00412284">
        <w:rPr>
          <w:color w:val="222222"/>
          <w:shd w:val="clear" w:color="auto" w:fill="FFFFFF"/>
        </w:rPr>
        <w:t>.</w:t>
      </w:r>
      <w:r w:rsidRPr="00412284">
        <w:rPr>
          <w:rStyle w:val="apple-converted-space"/>
          <w:color w:val="222222"/>
          <w:shd w:val="clear" w:color="auto" w:fill="FFFFFF"/>
        </w:rPr>
        <w:t> </w:t>
      </w:r>
      <w:r w:rsidRPr="00412284">
        <w:rPr>
          <w:i/>
          <w:iCs/>
          <w:color w:val="222222"/>
          <w:shd w:val="clear" w:color="auto" w:fill="FFFFFF"/>
        </w:rPr>
        <w:t>Guidelines on discrimination because of sex</w:t>
      </w:r>
      <w:r w:rsidRPr="00412284">
        <w:rPr>
          <w:color w:val="222222"/>
          <w:shd w:val="clear" w:color="auto" w:fill="FFFFFF"/>
        </w:rPr>
        <w:t>.</w:t>
      </w:r>
      <w:proofErr w:type="gramEnd"/>
      <w:r w:rsidRPr="00412284">
        <w:rPr>
          <w:color w:val="222222"/>
          <w:shd w:val="clear" w:color="auto" w:fill="FFFFFF"/>
        </w:rPr>
        <w:t xml:space="preserve"> ERIC Clearinghouse.</w:t>
      </w:r>
    </w:p>
    <w:p w:rsidR="00EF6535" w:rsidRPr="00412284" w:rsidRDefault="00EF6535" w:rsidP="00EF6535">
      <w:pPr>
        <w:tabs>
          <w:tab w:val="left" w:pos="1170"/>
        </w:tabs>
        <w:spacing w:line="480" w:lineRule="auto"/>
        <w:ind w:left="720" w:hanging="720"/>
      </w:pPr>
      <w:proofErr w:type="gramStart"/>
      <w:r w:rsidRPr="00412284">
        <w:rPr>
          <w:color w:val="222222"/>
          <w:shd w:val="clear" w:color="auto" w:fill="FFFFFF"/>
        </w:rPr>
        <w:t>Equal Employment Opportunity Commission.</w:t>
      </w:r>
      <w:proofErr w:type="gramEnd"/>
      <w:r w:rsidRPr="00412284">
        <w:rPr>
          <w:color w:val="222222"/>
          <w:shd w:val="clear" w:color="auto" w:fill="FFFFFF"/>
        </w:rPr>
        <w:t xml:space="preserve"> (1992)</w:t>
      </w:r>
      <w:proofErr w:type="gramStart"/>
      <w:r w:rsidRPr="00412284">
        <w:rPr>
          <w:color w:val="222222"/>
          <w:shd w:val="clear" w:color="auto" w:fill="FFFFFF"/>
        </w:rPr>
        <w:t>.</w:t>
      </w:r>
      <w:r w:rsidRPr="00412284">
        <w:rPr>
          <w:rStyle w:val="apple-converted-space"/>
          <w:color w:val="222222"/>
          <w:shd w:val="clear" w:color="auto" w:fill="FFFFFF"/>
        </w:rPr>
        <w:t> </w:t>
      </w:r>
      <w:r w:rsidRPr="00412284">
        <w:rPr>
          <w:i/>
          <w:iCs/>
          <w:color w:val="222222"/>
          <w:shd w:val="clear" w:color="auto" w:fill="FFFFFF"/>
        </w:rPr>
        <w:t>A technical assistance manual on the employment provisions (Title 1) of the Americans with Disabilities Act</w:t>
      </w:r>
      <w:r w:rsidRPr="00412284">
        <w:rPr>
          <w:color w:val="222222"/>
          <w:shd w:val="clear" w:color="auto" w:fill="FFFFFF"/>
        </w:rPr>
        <w:t>.</w:t>
      </w:r>
      <w:proofErr w:type="gramEnd"/>
      <w:r w:rsidRPr="00412284">
        <w:rPr>
          <w:color w:val="222222"/>
          <w:shd w:val="clear" w:color="auto" w:fill="FFFFFF"/>
        </w:rPr>
        <w:t xml:space="preserve"> ERIC Clearinghouse.</w:t>
      </w:r>
    </w:p>
    <w:p w:rsidR="00EF6535" w:rsidRPr="00412284" w:rsidRDefault="00EF6535" w:rsidP="00EF6535">
      <w:pPr>
        <w:tabs>
          <w:tab w:val="left" w:pos="1170"/>
        </w:tabs>
        <w:spacing w:line="480" w:lineRule="auto"/>
        <w:ind w:left="720" w:hanging="720"/>
        <w:rPr>
          <w:color w:val="222222"/>
          <w:shd w:val="clear" w:color="auto" w:fill="FFFFFF"/>
        </w:rPr>
      </w:pPr>
      <w:r w:rsidRPr="00412284">
        <w:rPr>
          <w:color w:val="222222"/>
          <w:shd w:val="clear" w:color="auto" w:fill="FFFFFF"/>
        </w:rPr>
        <w:t>Ginsburg, R. B., &amp; Merritt, D. J. (1999). Affirmative Action: An International Human Rights Dialogue.</w:t>
      </w:r>
      <w:r w:rsidRPr="00412284">
        <w:rPr>
          <w:rStyle w:val="apple-converted-space"/>
          <w:color w:val="222222"/>
          <w:shd w:val="clear" w:color="auto" w:fill="FFFFFF"/>
        </w:rPr>
        <w:t> </w:t>
      </w:r>
      <w:r w:rsidRPr="00412284">
        <w:rPr>
          <w:i/>
          <w:iCs/>
          <w:color w:val="222222"/>
          <w:shd w:val="clear" w:color="auto" w:fill="FFFFFF"/>
        </w:rPr>
        <w:t>Cardozo L. Rev.</w:t>
      </w:r>
      <w:r w:rsidRPr="00412284">
        <w:rPr>
          <w:color w:val="222222"/>
          <w:shd w:val="clear" w:color="auto" w:fill="FFFFFF"/>
        </w:rPr>
        <w:t>,</w:t>
      </w:r>
      <w:r w:rsidRPr="00412284">
        <w:rPr>
          <w:rStyle w:val="apple-converted-space"/>
          <w:color w:val="222222"/>
          <w:shd w:val="clear" w:color="auto" w:fill="FFFFFF"/>
        </w:rPr>
        <w:t> </w:t>
      </w:r>
      <w:r w:rsidRPr="00412284">
        <w:rPr>
          <w:i/>
          <w:iCs/>
          <w:color w:val="222222"/>
          <w:shd w:val="clear" w:color="auto" w:fill="FFFFFF"/>
        </w:rPr>
        <w:t>21</w:t>
      </w:r>
      <w:r w:rsidRPr="00412284">
        <w:rPr>
          <w:color w:val="222222"/>
          <w:shd w:val="clear" w:color="auto" w:fill="FFFFFF"/>
        </w:rPr>
        <w:t>, 253.</w:t>
      </w:r>
    </w:p>
    <w:p w:rsidR="00EF6535" w:rsidRPr="00412284" w:rsidRDefault="00EF6535" w:rsidP="00EF6535">
      <w:pPr>
        <w:tabs>
          <w:tab w:val="left" w:pos="1170"/>
        </w:tabs>
        <w:spacing w:line="480" w:lineRule="auto"/>
        <w:ind w:left="720" w:hanging="720"/>
        <w:rPr>
          <w:color w:val="222222"/>
          <w:shd w:val="clear" w:color="auto" w:fill="FFFFFF"/>
        </w:rPr>
      </w:pPr>
      <w:proofErr w:type="spellStart"/>
      <w:proofErr w:type="gramStart"/>
      <w:r w:rsidRPr="00412284">
        <w:rPr>
          <w:color w:val="222222"/>
          <w:shd w:val="clear" w:color="auto" w:fill="FFFFFF"/>
        </w:rPr>
        <w:t>Johnsen</w:t>
      </w:r>
      <w:proofErr w:type="spellEnd"/>
      <w:r w:rsidRPr="00412284">
        <w:rPr>
          <w:color w:val="222222"/>
          <w:shd w:val="clear" w:color="auto" w:fill="FFFFFF"/>
        </w:rPr>
        <w:t>, D. E. (1986).</w:t>
      </w:r>
      <w:proofErr w:type="gramEnd"/>
      <w:r w:rsidRPr="00412284">
        <w:rPr>
          <w:color w:val="222222"/>
          <w:shd w:val="clear" w:color="auto" w:fill="FFFFFF"/>
        </w:rPr>
        <w:t xml:space="preserve"> The creation of fetal rights: conflicts with women's constitutional rights to liberty, privacy, and equal protection.</w:t>
      </w:r>
      <w:r w:rsidRPr="00412284">
        <w:rPr>
          <w:rStyle w:val="apple-converted-space"/>
          <w:color w:val="222222"/>
          <w:shd w:val="clear" w:color="auto" w:fill="FFFFFF"/>
        </w:rPr>
        <w:t> </w:t>
      </w:r>
      <w:r w:rsidRPr="00412284">
        <w:rPr>
          <w:i/>
          <w:iCs/>
          <w:color w:val="222222"/>
          <w:shd w:val="clear" w:color="auto" w:fill="FFFFFF"/>
        </w:rPr>
        <w:t>The Yale law journal</w:t>
      </w:r>
      <w:r w:rsidRPr="00412284">
        <w:rPr>
          <w:color w:val="222222"/>
          <w:shd w:val="clear" w:color="auto" w:fill="FFFFFF"/>
        </w:rPr>
        <w:t>,</w:t>
      </w:r>
      <w:r w:rsidRPr="00412284">
        <w:rPr>
          <w:rStyle w:val="apple-converted-space"/>
          <w:color w:val="222222"/>
          <w:shd w:val="clear" w:color="auto" w:fill="FFFFFF"/>
        </w:rPr>
        <w:t> </w:t>
      </w:r>
      <w:r w:rsidRPr="00412284">
        <w:rPr>
          <w:i/>
          <w:iCs/>
          <w:color w:val="222222"/>
          <w:shd w:val="clear" w:color="auto" w:fill="FFFFFF"/>
        </w:rPr>
        <w:t>95</w:t>
      </w:r>
      <w:r w:rsidRPr="00412284">
        <w:rPr>
          <w:color w:val="222222"/>
          <w:shd w:val="clear" w:color="auto" w:fill="FFFFFF"/>
        </w:rPr>
        <w:t>(3), 599-625.</w:t>
      </w:r>
    </w:p>
    <w:p w:rsidR="00EF6535" w:rsidRPr="00007DE2" w:rsidRDefault="00EF6535" w:rsidP="00EF6535">
      <w:pPr>
        <w:pStyle w:val="APA"/>
      </w:pPr>
    </w:p>
    <w:p w:rsidR="00EF6535" w:rsidRPr="00EF6535" w:rsidRDefault="00EF6535" w:rsidP="00EF6535">
      <w:pPr>
        <w:pStyle w:val="APA"/>
      </w:pPr>
      <w:r>
        <w:br/>
      </w:r>
      <w:r>
        <w:br/>
      </w:r>
    </w:p>
    <w:sectPr w:rsidR="00EF6535" w:rsidRPr="00EF6535" w:rsidSect="00EF653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35" w:rsidRDefault="00EF6535">
      <w:r>
        <w:separator/>
      </w:r>
    </w:p>
  </w:endnote>
  <w:endnote w:type="continuationSeparator" w:id="0">
    <w:p w:rsidR="00EF6535" w:rsidRDefault="00EF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35" w:rsidRDefault="00EF6535">
      <w:r>
        <w:separator/>
      </w:r>
    </w:p>
  </w:footnote>
  <w:footnote w:type="continuationSeparator" w:id="0">
    <w:p w:rsidR="00EF6535" w:rsidRDefault="00EF65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EF6535" w:rsidTr="00EF6535">
      <w:tc>
        <w:tcPr>
          <w:tcW w:w="4500" w:type="pct"/>
          <w:shd w:val="clear" w:color="auto" w:fill="auto"/>
        </w:tcPr>
        <w:p w:rsidR="00EF6535" w:rsidRPr="00EF6535" w:rsidRDefault="00EF6535" w:rsidP="00EF6535">
          <w:pPr>
            <w:pStyle w:val="Header"/>
          </w:pPr>
          <w:bookmarkStart w:id="0" w:name="bkRunningHead"/>
          <w:bookmarkEnd w:id="0"/>
        </w:p>
      </w:tc>
      <w:tc>
        <w:tcPr>
          <w:tcW w:w="2500" w:type="pct"/>
          <w:shd w:val="clear" w:color="auto" w:fill="auto"/>
        </w:tcPr>
        <w:p w:rsidR="00EF6535" w:rsidRDefault="00EF6535" w:rsidP="00EF6535">
          <w:pPr>
            <w:pStyle w:val="Header"/>
            <w:jc w:val="right"/>
          </w:pPr>
          <w:r>
            <w:t xml:space="preserve"> </w:t>
          </w:r>
          <w:r>
            <w:fldChar w:fldCharType="begin"/>
          </w:r>
          <w:r>
            <w:instrText xml:space="preserve"> PAGE  \* MERGEFORMAT </w:instrText>
          </w:r>
          <w:r>
            <w:fldChar w:fldCharType="separate"/>
          </w:r>
          <w:r w:rsidR="005F0245">
            <w:rPr>
              <w:noProof/>
            </w:rPr>
            <w:t>6</w:t>
          </w:r>
          <w:r>
            <w:fldChar w:fldCharType="end"/>
          </w:r>
        </w:p>
        <w:p w:rsidR="00EF6535" w:rsidRDefault="00EF6535" w:rsidP="00EF6535">
          <w:pPr>
            <w:pStyle w:val="Header"/>
          </w:pPr>
        </w:p>
      </w:tc>
    </w:tr>
  </w:tbl>
  <w:p w:rsidR="00EF6535" w:rsidRPr="00EF6535" w:rsidRDefault="00EF6535" w:rsidP="00EF65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EF6535" w:rsidTr="00EF6535">
      <w:tc>
        <w:tcPr>
          <w:tcW w:w="4500" w:type="pct"/>
          <w:shd w:val="clear" w:color="auto" w:fill="auto"/>
        </w:tcPr>
        <w:p w:rsidR="00EF6535" w:rsidRPr="00EF6535" w:rsidRDefault="00EF6535" w:rsidP="00EF6535">
          <w:pPr>
            <w:pStyle w:val="Header"/>
          </w:pPr>
          <w:bookmarkStart w:id="1" w:name="bkTitleRunningHead"/>
          <w:bookmarkEnd w:id="1"/>
        </w:p>
      </w:tc>
      <w:tc>
        <w:tcPr>
          <w:tcW w:w="2500" w:type="pct"/>
          <w:shd w:val="clear" w:color="auto" w:fill="auto"/>
        </w:tcPr>
        <w:p w:rsidR="00EF6535" w:rsidRDefault="00EF6535" w:rsidP="00EF6535">
          <w:pPr>
            <w:pStyle w:val="Header"/>
            <w:jc w:val="right"/>
          </w:pPr>
          <w:r>
            <w:t xml:space="preserve"> </w:t>
          </w:r>
          <w:r>
            <w:fldChar w:fldCharType="begin"/>
          </w:r>
          <w:r>
            <w:instrText xml:space="preserve"> PAGE  \* MERGEFORMAT </w:instrText>
          </w:r>
          <w:r>
            <w:fldChar w:fldCharType="separate"/>
          </w:r>
          <w:r w:rsidR="005F0245">
            <w:rPr>
              <w:noProof/>
            </w:rPr>
            <w:t>1</w:t>
          </w:r>
          <w:r>
            <w:fldChar w:fldCharType="end"/>
          </w:r>
        </w:p>
        <w:p w:rsidR="00EF6535" w:rsidRDefault="00EF6535" w:rsidP="00EF6535">
          <w:pPr>
            <w:pStyle w:val="Header"/>
          </w:pPr>
        </w:p>
      </w:tc>
    </w:tr>
  </w:tbl>
  <w:p w:rsidR="00EF6535" w:rsidRPr="00EF6535" w:rsidRDefault="00EF6535" w:rsidP="00EF6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0"/>
    <w:docVar w:name="OpenYesNo" w:val="0"/>
  </w:docVars>
  <w:rsids>
    <w:rsidRoot w:val="00EF6535"/>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0245"/>
    <w:rsid w:val="005F2E7E"/>
    <w:rsid w:val="00602CC5"/>
    <w:rsid w:val="00604874"/>
    <w:rsid w:val="00604B02"/>
    <w:rsid w:val="006362A0"/>
    <w:rsid w:val="0064493B"/>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5A51"/>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EF6535"/>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basedOn w:val="DefaultParagraphFont"/>
    <w:rsid w:val="00EF65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basedOn w:val="DefaultParagraphFont"/>
    <w:rsid w:val="00EF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Riverpoint.dotm</Template>
  <TotalTime>1</TotalTime>
  <Pages>7</Pages>
  <Words>1489</Words>
  <Characters>10323</Characters>
  <Application>Microsoft Macintosh Word</Application>
  <DocSecurity>0</DocSecurity>
  <Lines>1474</Lines>
  <Paragraphs>621</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Rights Proposition Outline</dc:title>
  <dc:subject>Paper Formatter</dc:subject>
  <dc:creator>Harveyzon Delapena</dc:creator>
  <cp:keywords/>
  <dc:description/>
  <cp:lastModifiedBy>Harveyzon Delapena</cp:lastModifiedBy>
  <cp:revision>2</cp:revision>
  <dcterms:created xsi:type="dcterms:W3CDTF">2016-06-17T10:33:00Z</dcterms:created>
  <dcterms:modified xsi:type="dcterms:W3CDTF">2016-06-17T10:33:00Z</dcterms:modified>
  <cp:category>School Papers</cp:category>
</cp:coreProperties>
</file>